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55" w:rsidRDefault="00D05055" w:rsidP="00D0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5055" w:rsidRDefault="00D05055" w:rsidP="00D05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Baseline characteristics and treatment during the first 3year period of disease course stratified by calendar time.</w:t>
      </w:r>
      <w:proofErr w:type="gramEnd"/>
    </w:p>
    <w:p w:rsidR="00D05055" w:rsidRDefault="00D05055" w:rsidP="00D05055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/>
      </w:tblPr>
      <w:tblGrid>
        <w:gridCol w:w="3083"/>
        <w:gridCol w:w="1420"/>
        <w:gridCol w:w="1560"/>
        <w:gridCol w:w="1416"/>
        <w:gridCol w:w="1043"/>
      </w:tblGrid>
      <w:tr w:rsidR="00D05055" w:rsidRPr="00A401CB" w:rsidTr="00D5252B">
        <w:trPr>
          <w:cnfStyle w:val="100000000000"/>
          <w:trHeight w:val="538"/>
        </w:trPr>
        <w:tc>
          <w:tcPr>
            <w:cnfStyle w:val="001000000000"/>
            <w:tcW w:w="1809" w:type="pct"/>
            <w:shd w:val="clear" w:color="auto" w:fill="BFBFBF" w:themeFill="background1" w:themeFillShade="BF"/>
            <w:vAlign w:val="center"/>
          </w:tcPr>
          <w:p w:rsidR="00D05055" w:rsidRPr="00A401CB" w:rsidRDefault="00D05055" w:rsidP="00D52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0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Baseline characteristics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D05055" w:rsidRDefault="00D05055" w:rsidP="00D5252B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1985-1994</w:t>
            </w:r>
          </w:p>
          <w:p w:rsidR="00D05055" w:rsidRPr="00A401CB" w:rsidRDefault="00D05055" w:rsidP="00D5252B">
            <w:pPr>
              <w:cnfStyle w:val="100000000000"/>
              <w:rPr>
                <w:rFonts w:ascii="Times New Roman" w:eastAsia="Calibri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n: 207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D05055" w:rsidRDefault="00D05055" w:rsidP="00D5252B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1995-2004</w:t>
            </w:r>
          </w:p>
          <w:p w:rsidR="00D05055" w:rsidRPr="00A401CB" w:rsidRDefault="00D05055" w:rsidP="00D5252B">
            <w:pPr>
              <w:cnfStyle w:val="100000000000"/>
              <w:rPr>
                <w:rFonts w:ascii="Times New Roman" w:eastAsia="Calibri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n: 472</w:t>
            </w:r>
          </w:p>
        </w:tc>
        <w:tc>
          <w:tcPr>
            <w:tcW w:w="831" w:type="pct"/>
            <w:shd w:val="clear" w:color="auto" w:fill="BFBFBF" w:themeFill="background1" w:themeFillShade="BF"/>
            <w:vAlign w:val="center"/>
          </w:tcPr>
          <w:p w:rsidR="00D05055" w:rsidRDefault="00D05055" w:rsidP="00D5252B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0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2005-2014</w:t>
            </w:r>
          </w:p>
          <w:p w:rsidR="00D05055" w:rsidRPr="00A401CB" w:rsidRDefault="00D05055" w:rsidP="00D5252B">
            <w:pPr>
              <w:cnfStyle w:val="100000000000"/>
              <w:rPr>
                <w:rFonts w:ascii="Times New Roman" w:eastAsia="Calibri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n: 237</w:t>
            </w:r>
          </w:p>
        </w:tc>
        <w:tc>
          <w:tcPr>
            <w:tcW w:w="612" w:type="pct"/>
            <w:shd w:val="clear" w:color="auto" w:fill="BFBFBF" w:themeFill="background1" w:themeFillShade="BF"/>
            <w:vAlign w:val="center"/>
          </w:tcPr>
          <w:p w:rsidR="00D05055" w:rsidRPr="00A401CB" w:rsidRDefault="00D05055" w:rsidP="00D5252B">
            <w:pPr>
              <w:cnfStyle w:val="100000000000"/>
              <w:rPr>
                <w:rFonts w:ascii="Times New Roman" w:eastAsia="Calibri" w:hAnsi="Times New Roman" w:cs="Times New Roman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p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Age</w:t>
            </w: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, yrs, median (IQR)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34 (18)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39 (19)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36 (21)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Disease duration, yrs, median (IQR)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 (9)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 (6)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 (7)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0.10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SLEDAI, median (IQR)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4 (6)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 (6)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 (4)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132A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M-SLEDAI, median (IQR)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eastAsia="Calibri" w:hAnsi="Times New Roman" w:cs="Times New Roman"/>
                <w:lang w:val="en-US"/>
              </w:rPr>
              <w:t>2 (4)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eastAsia="Calibri" w:hAnsi="Times New Roman" w:cs="Times New Roman"/>
                <w:lang w:val="en-US"/>
              </w:rPr>
              <w:t>0 (4)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eastAsia="Calibri" w:hAnsi="Times New Roman" w:cs="Times New Roman"/>
                <w:lang w:val="en-US"/>
              </w:rPr>
              <w:t>0 (4)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PGA, median (IQR)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1 (1.3)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1 (1.5)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0.5 (1.5)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E6">
              <w:rPr>
                <w:rFonts w:ascii="Times New Roman" w:hAnsi="Times New Roman" w:cs="Times New Roman"/>
                <w:lang w:val="en-US"/>
              </w:rPr>
              <w:t>0.59</w:t>
            </w: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Female sex, n (%)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190 (91.8)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431 (91.3)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214 (90.3)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E6">
              <w:rPr>
                <w:rFonts w:ascii="Times New Roman" w:hAnsi="Times New Roman" w:cs="Times New Roman"/>
                <w:lang w:val="en-US"/>
              </w:rPr>
              <w:t>0.85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Caucasian, n (%)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96 (46.4)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277 (58.7)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125(52.7)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6FE6">
              <w:rPr>
                <w:rFonts w:ascii="Times New Roman" w:hAnsi="Times New Roman" w:cs="Times New Roman"/>
                <w:lang w:val="en-US"/>
              </w:rPr>
              <w:t>0.01</w:t>
            </w: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African American, </w:t>
            </w:r>
            <w:proofErr w:type="gramStart"/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n(</w:t>
            </w:r>
            <w:proofErr w:type="gramEnd"/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%)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110 (53.1)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160 (33.9)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86 (36.3)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Default="00D05055" w:rsidP="00D5252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D313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Higher education, n (%)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93 (44.9</w:t>
            </w:r>
            <w:r w:rsidRPr="003F6FE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303 (64.2</w:t>
            </w:r>
            <w:r w:rsidRPr="003F6FE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169 (</w:t>
            </w:r>
            <w:r w:rsidRPr="003F6FE6">
              <w:rPr>
                <w:rFonts w:ascii="Times New Roman" w:eastAsia="Calibri" w:hAnsi="Times New Roman" w:cs="Times New Roman"/>
                <w:lang w:val="en-US"/>
              </w:rPr>
              <w:t>71.3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612" w:type="pct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3F6FE6" w:rsidRDefault="00D05055" w:rsidP="00D5252B">
            <w:pPr>
              <w:rPr>
                <w:rFonts w:ascii="Times New Roman" w:hAnsi="Times New Roman" w:cs="Times New Roman"/>
                <w:lang w:val="en-US"/>
              </w:rPr>
            </w:pPr>
            <w:r w:rsidRPr="0032678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Smoking, n (%)</w:t>
            </w:r>
          </w:p>
        </w:tc>
        <w:tc>
          <w:tcPr>
            <w:tcW w:w="833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49 (23.7)</w:t>
            </w:r>
          </w:p>
        </w:tc>
        <w:tc>
          <w:tcPr>
            <w:tcW w:w="915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65 (13.8)</w:t>
            </w:r>
          </w:p>
        </w:tc>
        <w:tc>
          <w:tcPr>
            <w:tcW w:w="831" w:type="pct"/>
            <w:vAlign w:val="center"/>
          </w:tcPr>
          <w:p w:rsidR="00D05055" w:rsidRPr="003F6FE6" w:rsidRDefault="00D05055" w:rsidP="00D5252B">
            <w:pPr>
              <w:cnfStyle w:val="000000000000"/>
              <w:rPr>
                <w:rFonts w:ascii="Times New Roman" w:eastAsia="Calibri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24 (10.1)</w:t>
            </w:r>
          </w:p>
        </w:tc>
        <w:tc>
          <w:tcPr>
            <w:tcW w:w="612" w:type="pct"/>
            <w:vAlign w:val="center"/>
          </w:tcPr>
          <w:p w:rsidR="00D05055" w:rsidRPr="006B469C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3F6FE6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shd w:val="clear" w:color="auto" w:fill="BFBFBF" w:themeFill="background1" w:themeFillShade="BF"/>
            <w:vAlign w:val="center"/>
          </w:tcPr>
          <w:p w:rsidR="00D05055" w:rsidRPr="00326781" w:rsidRDefault="00D05055" w:rsidP="00D5252B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Treatment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during  3/.year period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1" w:type="pct"/>
            <w:shd w:val="clear" w:color="auto" w:fill="BFBFBF" w:themeFill="background1" w:themeFillShade="BF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" w:type="pct"/>
            <w:shd w:val="clear" w:color="auto" w:fill="BFBFBF" w:themeFill="background1" w:themeFillShade="BF"/>
            <w:vAlign w:val="center"/>
          </w:tcPr>
          <w:p w:rsidR="00D05055" w:rsidRPr="003F6FE6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275107" w:rsidRDefault="00D05055" w:rsidP="00D5252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27510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Immunosuppresive</w:t>
            </w:r>
            <w:proofErr w:type="spellEnd"/>
            <w:r w:rsidRPr="0027510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drug treatment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,</w:t>
            </w:r>
            <w:r w:rsidRPr="0027510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n</w:t>
            </w:r>
            <w:proofErr w:type="gramEnd"/>
            <w:r w:rsidRPr="0027510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(%)</w:t>
            </w:r>
          </w:p>
          <w:p w:rsidR="00D05055" w:rsidRPr="00275107" w:rsidRDefault="00D05055" w:rsidP="00D5252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27510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Ever received</w:t>
            </w:r>
            <w:r w:rsidRPr="0027510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 </w:t>
            </w:r>
          </w:p>
          <w:p w:rsidR="00D05055" w:rsidRPr="00437812" w:rsidRDefault="00D05055" w:rsidP="00D52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510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≥ 75% of visits,</w:t>
            </w:r>
            <w:r>
              <w:rPr>
                <w:rFonts w:ascii="Times New Roman" w:eastAsia="Calibri" w:hAnsi="Times New Roman" w:cs="Times New Roman"/>
                <w:b w:val="0"/>
                <w:lang w:val="en-US"/>
              </w:rPr>
              <w:t xml:space="preserve"> </w:t>
            </w:r>
            <w:r w:rsidRPr="004D313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 (38.2)</w:t>
            </w:r>
          </w:p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31 (15)</w:t>
            </w:r>
          </w:p>
        </w:tc>
        <w:tc>
          <w:tcPr>
            <w:tcW w:w="915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 (50.6)</w:t>
            </w:r>
          </w:p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132 (28)</w:t>
            </w:r>
          </w:p>
        </w:tc>
        <w:tc>
          <w:tcPr>
            <w:tcW w:w="831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 (57.8)</w:t>
            </w:r>
          </w:p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93 (39.2)</w:t>
            </w:r>
          </w:p>
        </w:tc>
        <w:tc>
          <w:tcPr>
            <w:tcW w:w="612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F35735">
              <w:rPr>
                <w:rFonts w:ascii="Times New Roman" w:hAnsi="Times New Roman" w:cs="Times New Roman"/>
                <w:lang w:val="en-US"/>
              </w:rPr>
              <w:t>&lt; 0.001</w:t>
            </w:r>
          </w:p>
          <w:p w:rsidR="00D05055" w:rsidRPr="003F6FE6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F35735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cnfStyle w:val="000000100000"/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EE507C" w:rsidRDefault="00D05055" w:rsidP="00D5252B">
            <w:pPr>
              <w:rPr>
                <w:rFonts w:ascii="Times New Roman" w:eastAsia="Calibri" w:hAnsi="Times New Roman" w:cs="Times New Roman"/>
                <w:b w:val="0"/>
                <w:lang w:val="en-US"/>
              </w:rPr>
            </w:pPr>
            <w:r w:rsidRPr="00EE507C">
              <w:rPr>
                <w:rFonts w:ascii="Times New Roman" w:eastAsia="Calibri" w:hAnsi="Times New Roman" w:cs="Times New Roman"/>
                <w:b w:val="0"/>
                <w:lang w:val="en-US"/>
              </w:rPr>
              <w:t>Hydroxychloroquine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lang w:val="en-US"/>
              </w:rPr>
              <w:t xml:space="preserve">, </w:t>
            </w:r>
            <w:r w:rsidRPr="004D313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n</w:t>
            </w:r>
            <w:proofErr w:type="gramEnd"/>
            <w:r w:rsidRPr="004D313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(%)</w:t>
            </w:r>
          </w:p>
          <w:p w:rsidR="00D05055" w:rsidRPr="00A93FDB" w:rsidRDefault="00D05055" w:rsidP="00D5252B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</w:pPr>
            <w:r w:rsidRPr="00A93FDB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Ever received</w:t>
            </w:r>
          </w:p>
          <w:p w:rsidR="00D05055" w:rsidRPr="00A93FDB" w:rsidRDefault="00D05055" w:rsidP="00D5252B">
            <w:pPr>
              <w:rPr>
                <w:rFonts w:ascii="Times New Roman" w:eastAsia="Calibri" w:hAnsi="Times New Roman" w:cs="Times New Roman"/>
                <w:b w:val="0"/>
                <w:color w:val="FF0000"/>
                <w:lang w:val="en-US"/>
              </w:rPr>
            </w:pPr>
            <w:r w:rsidRPr="00A93FDB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≥ 75% of visits</w:t>
            </w:r>
          </w:p>
        </w:tc>
        <w:tc>
          <w:tcPr>
            <w:tcW w:w="833" w:type="pct"/>
            <w:vAlign w:val="center"/>
          </w:tcPr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 (59.9)</w:t>
            </w: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58 (28)</w:t>
            </w:r>
          </w:p>
        </w:tc>
        <w:tc>
          <w:tcPr>
            <w:tcW w:w="915" w:type="pct"/>
            <w:vAlign w:val="center"/>
          </w:tcPr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357 (75.6)</w:t>
            </w: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286 </w:t>
            </w:r>
            <w:r>
              <w:rPr>
                <w:rFonts w:ascii="Times New Roman" w:hAnsi="Times New Roman" w:cs="Times New Roman"/>
              </w:rPr>
              <w:t>(60.6)</w:t>
            </w:r>
          </w:p>
        </w:tc>
        <w:tc>
          <w:tcPr>
            <w:tcW w:w="831" w:type="pct"/>
            <w:vAlign w:val="center"/>
          </w:tcPr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 (93.7)</w:t>
            </w: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 (86.1)</w:t>
            </w:r>
          </w:p>
        </w:tc>
        <w:tc>
          <w:tcPr>
            <w:tcW w:w="612" w:type="pct"/>
            <w:vAlign w:val="center"/>
          </w:tcPr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35735">
              <w:rPr>
                <w:rFonts w:ascii="Times New Roman" w:hAnsi="Times New Roman" w:cs="Times New Roman"/>
                <w:lang w:val="en-US"/>
              </w:rPr>
              <w:t>&lt; 0.001</w:t>
            </w:r>
          </w:p>
          <w:p w:rsidR="00D05055" w:rsidRPr="00F35735" w:rsidRDefault="00D05055" w:rsidP="00D5252B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35735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  <w:tr w:rsidR="00D05055" w:rsidRPr="003F6FE6" w:rsidTr="00D5252B">
        <w:trPr>
          <w:trHeight w:val="397"/>
        </w:trPr>
        <w:tc>
          <w:tcPr>
            <w:cnfStyle w:val="001000000000"/>
            <w:tcW w:w="1809" w:type="pct"/>
            <w:vAlign w:val="center"/>
          </w:tcPr>
          <w:p w:rsidR="00D05055" w:rsidRPr="00EE507C" w:rsidRDefault="00D05055" w:rsidP="00D5252B">
            <w:pPr>
              <w:rPr>
                <w:rFonts w:ascii="Times New Roman" w:eastAsia="Calibri" w:hAnsi="Times New Roman" w:cs="Times New Roman"/>
                <w:b w:val="0"/>
                <w:lang w:val="en-US"/>
              </w:rPr>
            </w:pPr>
            <w:r w:rsidRPr="00EE507C">
              <w:rPr>
                <w:rFonts w:ascii="Times New Roman" w:eastAsia="Calibri" w:hAnsi="Times New Roman" w:cs="Times New Roman"/>
                <w:b w:val="0"/>
                <w:lang w:val="en-US"/>
              </w:rPr>
              <w:t>Prednisone</w:t>
            </w:r>
            <w:r>
              <w:rPr>
                <w:rFonts w:ascii="Times New Roman" w:eastAsia="Calibri" w:hAnsi="Times New Roman" w:cs="Times New Roman"/>
                <w:b w:val="0"/>
                <w:lang w:val="en-US"/>
              </w:rPr>
              <w:t>,</w:t>
            </w:r>
            <w:r w:rsidRPr="004D313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n (%)</w:t>
            </w:r>
          </w:p>
          <w:p w:rsidR="00D05055" w:rsidRPr="00A93FDB" w:rsidRDefault="00D05055" w:rsidP="00D5252B">
            <w:pPr>
              <w:rPr>
                <w:rFonts w:ascii="Times New Roman" w:eastAsia="Calibri" w:hAnsi="Times New Roman" w:cs="Times New Roman"/>
                <w:b w:val="0"/>
                <w:lang w:val="en-US"/>
              </w:rPr>
            </w:pPr>
            <w:r w:rsidRPr="00A93FDB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Ever received</w:t>
            </w:r>
          </w:p>
          <w:p w:rsidR="00D05055" w:rsidRPr="00EE507C" w:rsidRDefault="00D05055" w:rsidP="00D5252B">
            <w:pPr>
              <w:rPr>
                <w:rFonts w:ascii="Times New Roman" w:eastAsia="Calibri" w:hAnsi="Times New Roman" w:cs="Times New Roman"/>
                <w:b w:val="0"/>
                <w:lang w:val="en-US"/>
              </w:rPr>
            </w:pPr>
            <w:r w:rsidRPr="00EE507C">
              <w:rPr>
                <w:rFonts w:ascii="Times New Roman" w:eastAsia="Calibri" w:hAnsi="Times New Roman" w:cs="Times New Roman"/>
                <w:b w:val="0"/>
                <w:lang w:val="en-US"/>
              </w:rPr>
              <w:t>≥ 75% of visits</w:t>
            </w:r>
          </w:p>
        </w:tc>
        <w:tc>
          <w:tcPr>
            <w:tcW w:w="833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 (89.4)</w:t>
            </w: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147 (71)</w:t>
            </w:r>
          </w:p>
        </w:tc>
        <w:tc>
          <w:tcPr>
            <w:tcW w:w="915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334 (70.8)</w:t>
            </w: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224 (47.5)</w:t>
            </w:r>
          </w:p>
        </w:tc>
        <w:tc>
          <w:tcPr>
            <w:tcW w:w="831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 (66.7)</w:t>
            </w: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96 (40.5)</w:t>
            </w:r>
          </w:p>
        </w:tc>
        <w:tc>
          <w:tcPr>
            <w:tcW w:w="612" w:type="pct"/>
            <w:vAlign w:val="center"/>
          </w:tcPr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D0505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F35735">
              <w:rPr>
                <w:rFonts w:ascii="Times New Roman" w:hAnsi="Times New Roman" w:cs="Times New Roman"/>
                <w:lang w:val="en-US"/>
              </w:rPr>
              <w:t>&lt; 0.001</w:t>
            </w:r>
          </w:p>
          <w:p w:rsidR="00D05055" w:rsidRPr="00F35735" w:rsidRDefault="00D05055" w:rsidP="00D5252B">
            <w:pPr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F35735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</w:tr>
    </w:tbl>
    <w:p w:rsidR="00D05055" w:rsidRDefault="00D05055" w:rsidP="00D05055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524F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IQR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Interquartile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range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2059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SLEDAI: SLE Disease Activity Index;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M-SLEDAI:  Modified SLEDAI; </w:t>
      </w:r>
      <w:r w:rsidRPr="002059D9">
        <w:rPr>
          <w:rFonts w:ascii="Times New Roman" w:eastAsia="Calibri" w:hAnsi="Times New Roman" w:cs="Times New Roman"/>
          <w:sz w:val="24"/>
          <w:szCs w:val="24"/>
          <w:lang w:val="en-US"/>
        </w:rPr>
        <w:t>PGA: Physician Global Assessment</w:t>
      </w:r>
    </w:p>
    <w:p w:rsidR="00D05055" w:rsidRDefault="00D05055" w:rsidP="00D050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:rsidR="00B343C2" w:rsidRDefault="00B343C2" w:rsidP="00B3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43C2" w:rsidSect="00D90E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2C"/>
    <w:rsid w:val="000948F8"/>
    <w:rsid w:val="000A7404"/>
    <w:rsid w:val="000F77BD"/>
    <w:rsid w:val="0019782C"/>
    <w:rsid w:val="00220146"/>
    <w:rsid w:val="002651BA"/>
    <w:rsid w:val="00400CA0"/>
    <w:rsid w:val="005A09D5"/>
    <w:rsid w:val="005D4989"/>
    <w:rsid w:val="00816338"/>
    <w:rsid w:val="008F363E"/>
    <w:rsid w:val="0095156A"/>
    <w:rsid w:val="00A45064"/>
    <w:rsid w:val="00B343C2"/>
    <w:rsid w:val="00D05055"/>
    <w:rsid w:val="00D30C2E"/>
    <w:rsid w:val="00D90EB3"/>
    <w:rsid w:val="00DB5A8A"/>
    <w:rsid w:val="00DB7997"/>
    <w:rsid w:val="00F5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C"/>
    <w:rPr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5D4989"/>
    <w:pPr>
      <w:spacing w:after="0" w:line="240" w:lineRule="auto"/>
    </w:pPr>
    <w:rPr>
      <w:lang w:val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17F1-DD5C-4C22-AE42-0FDE63A2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2018-06-20T20:43:00Z</dcterms:created>
  <dcterms:modified xsi:type="dcterms:W3CDTF">2018-06-20T20:43:00Z</dcterms:modified>
</cp:coreProperties>
</file>